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53" w:rsidRPr="009629F6" w:rsidRDefault="00672A60" w:rsidP="00C072DA">
      <w:pPr>
        <w:pStyle w:val="Nzev"/>
        <w:rPr>
          <w:sz w:val="10"/>
          <w:szCs w:val="1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61.5pt">
            <v:imagedata r:id="rId5" o:title="ESGO_logo_Petersburg_rgb"/>
          </v:shape>
        </w:pict>
      </w:r>
      <w:r w:rsidR="009629F6">
        <w:br w:type="textWrapping" w:clear="all"/>
      </w:r>
    </w:p>
    <w:p w:rsidR="00875CC2" w:rsidRDefault="006941E1" w:rsidP="00C359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9F6">
        <w:rPr>
          <w:rFonts w:ascii="Times New Roman" w:hAnsi="Times New Roman" w:cs="Times New Roman"/>
          <w:b/>
          <w:sz w:val="24"/>
          <w:szCs w:val="24"/>
        </w:rPr>
        <w:t xml:space="preserve">SURGICAL </w:t>
      </w:r>
      <w:r w:rsidR="00C35998" w:rsidRPr="009629F6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C35998" w:rsidRPr="00C35998" w:rsidRDefault="00C35998" w:rsidP="00C359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4095" w:rsidRPr="009629F6" w:rsidRDefault="00764095" w:rsidP="00315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  <w:lang w:val="cs-CZ" w:eastAsia="cs-CZ"/>
        </w:rPr>
      </w:pPr>
    </w:p>
    <w:p w:rsidR="00806E46" w:rsidRPr="009629F6" w:rsidRDefault="00806E46" w:rsidP="00806E46">
      <w:pPr>
        <w:rPr>
          <w:rFonts w:ascii="Times New Roman" w:hAnsi="Times New Roman" w:cs="Times New Roman"/>
          <w:b/>
          <w:sz w:val="24"/>
          <w:szCs w:val="24"/>
        </w:rPr>
      </w:pPr>
      <w:r w:rsidRPr="009629F6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FC6A10" w:rsidRPr="009629F6">
        <w:rPr>
          <w:rFonts w:ascii="Times New Roman" w:hAnsi="Times New Roman" w:cs="Times New Roman"/>
          <w:b/>
          <w:sz w:val="24"/>
          <w:szCs w:val="24"/>
        </w:rPr>
        <w:t>Attendee</w:t>
      </w:r>
      <w:r w:rsidRPr="009629F6">
        <w:rPr>
          <w:rFonts w:ascii="Times New Roman" w:hAnsi="Times New Roman" w:cs="Times New Roman"/>
          <w:b/>
          <w:sz w:val="24"/>
          <w:szCs w:val="24"/>
        </w:rPr>
        <w:t xml:space="preserve"> of the Course :  ______________</w:t>
      </w:r>
      <w:r w:rsidR="009629F6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9629F6">
        <w:rPr>
          <w:rFonts w:ascii="Times New Roman" w:hAnsi="Times New Roman" w:cs="Times New Roman"/>
          <w:b/>
          <w:sz w:val="24"/>
          <w:szCs w:val="24"/>
        </w:rPr>
        <w:t>___</w:t>
      </w:r>
    </w:p>
    <w:p w:rsidR="009629F6" w:rsidRDefault="00806E46" w:rsidP="00806E46">
      <w:pPr>
        <w:rPr>
          <w:rFonts w:ascii="Times New Roman" w:hAnsi="Times New Roman" w:cs="Times New Roman"/>
          <w:b/>
          <w:sz w:val="24"/>
          <w:szCs w:val="24"/>
        </w:rPr>
      </w:pPr>
      <w:r w:rsidRPr="009629F6">
        <w:rPr>
          <w:rFonts w:ascii="Times New Roman" w:hAnsi="Times New Roman" w:cs="Times New Roman"/>
          <w:b/>
          <w:sz w:val="24"/>
          <w:szCs w:val="24"/>
        </w:rPr>
        <w:t>Name of the H</w:t>
      </w:r>
      <w:r w:rsidR="00A31F8B" w:rsidRPr="009629F6">
        <w:rPr>
          <w:rFonts w:ascii="Times New Roman" w:hAnsi="Times New Roman" w:cs="Times New Roman"/>
          <w:b/>
          <w:sz w:val="24"/>
          <w:szCs w:val="24"/>
        </w:rPr>
        <w:t xml:space="preserve">ome institution : </w:t>
      </w:r>
      <w:r w:rsidRPr="009629F6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  <w:r w:rsidR="009629F6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9629F6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2D007B" w:rsidRPr="009629F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29F6" w:rsidRPr="00942578" w:rsidRDefault="00942578" w:rsidP="00806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City:____________________________________   Email: _______________________________</w:t>
      </w:r>
    </w:p>
    <w:p w:rsidR="002D007B" w:rsidRPr="009629F6" w:rsidRDefault="002D007B" w:rsidP="00806E46">
      <w:pPr>
        <w:rPr>
          <w:rFonts w:ascii="Times New Roman" w:hAnsi="Times New Roman" w:cs="Times New Roman"/>
          <w:b/>
          <w:sz w:val="24"/>
          <w:szCs w:val="24"/>
        </w:rPr>
      </w:pPr>
      <w:r w:rsidRPr="009629F6">
        <w:rPr>
          <w:rFonts w:ascii="Times New Roman" w:hAnsi="Times New Roman" w:cs="Times New Roman"/>
          <w:b/>
          <w:sz w:val="24"/>
          <w:szCs w:val="24"/>
        </w:rPr>
        <w:t>Part I – General evaluation of the centre</w:t>
      </w:r>
    </w:p>
    <w:tbl>
      <w:tblPr>
        <w:tblStyle w:val="Mkatabulky"/>
        <w:tblW w:w="10173" w:type="dxa"/>
        <w:tblLook w:val="04A0" w:firstRow="1" w:lastRow="0" w:firstColumn="1" w:lastColumn="0" w:noHBand="0" w:noVBand="1"/>
      </w:tblPr>
      <w:tblGrid>
        <w:gridCol w:w="7196"/>
        <w:gridCol w:w="1701"/>
        <w:gridCol w:w="1276"/>
      </w:tblGrid>
      <w:tr w:rsidR="00D756DC" w:rsidRPr="009629F6" w:rsidTr="00C072DA">
        <w:tc>
          <w:tcPr>
            <w:tcW w:w="7196" w:type="dxa"/>
          </w:tcPr>
          <w:p w:rsidR="004A7308" w:rsidRPr="009629F6" w:rsidRDefault="00D756DC" w:rsidP="00C072DA">
            <w:pPr>
              <w:pStyle w:val="Odstavecseseznamem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Stage III-IV </w:t>
            </w:r>
            <w:r w:rsidR="002B552C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Primary and Recurrent E</w:t>
            </w:r>
            <w:r w:rsidR="00246DAF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pithelial </w:t>
            </w:r>
            <w:r w:rsidR="002B552C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46DAF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varian </w:t>
            </w:r>
            <w:r w:rsidR="002B552C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46DAF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ancer (EOC)</w:t>
            </w:r>
          </w:p>
        </w:tc>
        <w:tc>
          <w:tcPr>
            <w:tcW w:w="1701" w:type="dxa"/>
            <w:vAlign w:val="center"/>
          </w:tcPr>
          <w:p w:rsidR="00D756DC" w:rsidRPr="009629F6" w:rsidRDefault="00FB3939" w:rsidP="00F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D756DC" w:rsidRPr="009629F6" w:rsidRDefault="004A7308" w:rsidP="002B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62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E46" w:rsidRPr="009629F6" w:rsidTr="00C072DA">
        <w:tc>
          <w:tcPr>
            <w:tcW w:w="7196" w:type="dxa"/>
          </w:tcPr>
          <w:p w:rsidR="00806E46" w:rsidRPr="009629F6" w:rsidRDefault="00806E46" w:rsidP="00DA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  <w:r w:rsidR="00DA4FEA"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 stage III-IV </w:t>
            </w:r>
            <w:r w:rsidR="00FB3939" w:rsidRPr="009629F6">
              <w:rPr>
                <w:rFonts w:ascii="Times New Roman" w:hAnsi="Times New Roman" w:cs="Times New Roman"/>
                <w:sz w:val="24"/>
                <w:szCs w:val="24"/>
              </w:rPr>
              <w:t>ovarian cancer</w:t>
            </w:r>
            <w:r w:rsidR="004E4CA4" w:rsidRPr="009629F6">
              <w:rPr>
                <w:rFonts w:ascii="Times New Roman" w:hAnsi="Times New Roman" w:cs="Times New Roman"/>
                <w:sz w:val="24"/>
                <w:szCs w:val="24"/>
              </w:rPr>
              <w:t>s treated</w:t>
            </w: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 in the center </w:t>
            </w:r>
          </w:p>
        </w:tc>
        <w:tc>
          <w:tcPr>
            <w:tcW w:w="1701" w:type="dxa"/>
          </w:tcPr>
          <w:p w:rsidR="00806E46" w:rsidRPr="009629F6" w:rsidRDefault="00806E46" w:rsidP="00F5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E46" w:rsidRPr="009629F6" w:rsidRDefault="00806E46" w:rsidP="00F52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Number or gynaecological oncologists in the centre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Proportion of primary debulking surgeries vs. NAC 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Complete Resection Rate</w:t>
            </w:r>
            <w:r w:rsidRPr="00962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A009E4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At the Primary Surgery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A009E4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After Neo-Adjuvant Chemotherapy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A2" w:rsidRPr="009629F6" w:rsidRDefault="005A3CA2" w:rsidP="0076409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64095" w:rsidRDefault="00764095" w:rsidP="00CE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9F6">
        <w:rPr>
          <w:rFonts w:ascii="Times New Roman" w:hAnsi="Times New Roman" w:cs="Times New Roman"/>
          <w:b/>
          <w:sz w:val="24"/>
          <w:szCs w:val="24"/>
        </w:rPr>
        <w:t xml:space="preserve">Part II – Evaluation of the </w:t>
      </w:r>
      <w:r w:rsidR="00246DAF" w:rsidRPr="009629F6">
        <w:rPr>
          <w:rFonts w:ascii="Times New Roman" w:hAnsi="Times New Roman" w:cs="Times New Roman"/>
          <w:b/>
          <w:sz w:val="24"/>
          <w:szCs w:val="24"/>
        </w:rPr>
        <w:t>Attendee</w:t>
      </w:r>
      <w:r w:rsidRPr="009629F6">
        <w:rPr>
          <w:rFonts w:ascii="Times New Roman" w:hAnsi="Times New Roman" w:cs="Times New Roman"/>
          <w:b/>
          <w:sz w:val="24"/>
          <w:szCs w:val="24"/>
        </w:rPr>
        <w:t xml:space="preserve"> of the Course</w:t>
      </w:r>
    </w:p>
    <w:p w:rsidR="00CE54A9" w:rsidRPr="00CE54A9" w:rsidRDefault="00CE54A9" w:rsidP="00CE54A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7196"/>
        <w:gridCol w:w="1701"/>
        <w:gridCol w:w="1417"/>
      </w:tblGrid>
      <w:tr w:rsidR="00764095" w:rsidRPr="009629F6" w:rsidTr="00C072DA">
        <w:tc>
          <w:tcPr>
            <w:tcW w:w="7196" w:type="dxa"/>
          </w:tcPr>
          <w:p w:rsidR="004A7308" w:rsidRPr="009629F6" w:rsidRDefault="00764095" w:rsidP="00C072DA">
            <w:pPr>
              <w:pStyle w:val="Odstavecseseznamem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Stage </w:t>
            </w:r>
            <w:r w:rsidR="002B552C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B552C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Primary and Recurrent </w:t>
            </w:r>
            <w:r w:rsidR="00246DAF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Epithelial Ovarian Cancer (</w:t>
            </w:r>
            <w:r w:rsidR="002B552C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EOC</w:t>
            </w:r>
            <w:r w:rsidR="00246DAF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E4CA4"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surgeries performed by the attendee at the centre</w:t>
            </w:r>
          </w:p>
        </w:tc>
        <w:tc>
          <w:tcPr>
            <w:tcW w:w="1701" w:type="dxa"/>
            <w:vAlign w:val="center"/>
          </w:tcPr>
          <w:p w:rsidR="00764095" w:rsidRPr="009629F6" w:rsidRDefault="00764095" w:rsidP="00C0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764095" w:rsidRPr="009629F6" w:rsidRDefault="00764095" w:rsidP="004A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4A7308" w:rsidRPr="00962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Number of stage III-IV ovarian cancers treated by the attendee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  <w:shd w:val="clear" w:color="auto" w:fill="auto"/>
          </w:tcPr>
          <w:p w:rsidR="004E4CA4" w:rsidRPr="009629F6" w:rsidRDefault="004E4CA4" w:rsidP="001D0BE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Proportion of primary debulking surgeries </w:t>
            </w:r>
          </w:p>
        </w:tc>
        <w:tc>
          <w:tcPr>
            <w:tcW w:w="1701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  <w:shd w:val="clear" w:color="auto" w:fill="auto"/>
          </w:tcPr>
          <w:p w:rsidR="004E4CA4" w:rsidRPr="009629F6" w:rsidRDefault="004E4CA4" w:rsidP="001D0BE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Complete Resection Rate</w:t>
            </w:r>
            <w:r w:rsidRPr="009629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  <w:shd w:val="clear" w:color="auto" w:fill="auto"/>
          </w:tcPr>
          <w:p w:rsidR="004E4CA4" w:rsidRPr="009629F6" w:rsidRDefault="004E4CA4" w:rsidP="001D0BE9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At the Primary Surgery</w:t>
            </w:r>
          </w:p>
        </w:tc>
        <w:tc>
          <w:tcPr>
            <w:tcW w:w="1701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  <w:shd w:val="clear" w:color="auto" w:fill="auto"/>
          </w:tcPr>
          <w:p w:rsidR="004E4CA4" w:rsidRPr="009629F6" w:rsidRDefault="004E4CA4" w:rsidP="001D0BE9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After Neo-Adjuvant Chemotherapy    </w:t>
            </w:r>
          </w:p>
        </w:tc>
        <w:tc>
          <w:tcPr>
            <w:tcW w:w="1701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C072DA">
            <w:pPr>
              <w:pStyle w:val="Odstavecseseznamem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Specific Surgeries performed by the attendee 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Liver Mobilization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Diaphragm Stripping or Resection  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Total Omentectomy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Splenectomy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Distal Pancreatectomy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Bowel surgery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4" w:rsidRPr="009629F6" w:rsidTr="00C072DA">
        <w:tc>
          <w:tcPr>
            <w:tcW w:w="7196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 xml:space="preserve">Total number of other surgical procedures                                                                                            </w:t>
            </w:r>
            <w:r w:rsidRPr="009629F6">
              <w:rPr>
                <w:rFonts w:ascii="Times New Roman" w:hAnsi="Times New Roman" w:cs="Times New Roman"/>
                <w:i/>
                <w:sz w:val="24"/>
                <w:szCs w:val="24"/>
              </w:rPr>
              <w:t>(Dissection of Porta Hepatis or Celiac Trunk, Stomach Mobilization or Resection, Ureteral Reconstruction and Urinary Conduits, Video Assisted Thoracoscopic  Surgery (VATS) and/or Cardiophrenic LND</w:t>
            </w:r>
            <w:r w:rsidRPr="00962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CA4" w:rsidRPr="009629F6" w:rsidRDefault="004E4CA4" w:rsidP="004E4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4A9" w:rsidRDefault="00CE54A9" w:rsidP="00C67B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2287" w:rsidRPr="009629F6" w:rsidRDefault="00764095" w:rsidP="00C67B5D">
      <w:pPr>
        <w:spacing w:after="0" w:line="240" w:lineRule="auto"/>
        <w:rPr>
          <w:rFonts w:ascii="Times New Roman" w:hAnsi="Times New Roman" w:cs="Times New Roman"/>
        </w:rPr>
      </w:pPr>
      <w:r w:rsidRPr="009629F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629F6">
        <w:rPr>
          <w:rFonts w:ascii="Times New Roman" w:hAnsi="Times New Roman" w:cs="Times New Roman"/>
        </w:rPr>
        <w:t>Complete abdominal surgical resection is defined by the absence of remaining macroscopic lesions after careful exploration of the abdomen.</w:t>
      </w:r>
      <w:r w:rsidR="006C2287" w:rsidRPr="009629F6">
        <w:rPr>
          <w:rFonts w:ascii="Times New Roman" w:hAnsi="Times New Roman" w:cs="Times New Roman"/>
        </w:rPr>
        <w:t xml:space="preserve"> </w:t>
      </w:r>
      <w:r w:rsidRPr="009629F6">
        <w:rPr>
          <w:rFonts w:ascii="Times New Roman" w:hAnsi="Times New Roman" w:cs="Times New Roman"/>
        </w:rPr>
        <w:t xml:space="preserve">Surgery can be decided upfront, or planned after neoadjuvant chemotherapy. Refer to ESGO Quality Indicators on Surgery in Advanced Staged EOC for more details (see </w:t>
      </w:r>
      <w:hyperlink r:id="rId6" w:history="1">
        <w:r w:rsidR="006941E1" w:rsidRPr="009629F6">
          <w:rPr>
            <w:rStyle w:val="Hypertextovodkaz"/>
            <w:rFonts w:ascii="Times New Roman" w:hAnsi="Times New Roman" w:cs="Times New Roman"/>
          </w:rPr>
          <w:t>https://guidelines.esgo.org/ovarian-cancer/quality-indicators/indicators/</w:t>
        </w:r>
      </w:hyperlink>
      <w:r w:rsidRPr="009629F6">
        <w:rPr>
          <w:rFonts w:ascii="Times New Roman" w:hAnsi="Times New Roman" w:cs="Times New Roman"/>
        </w:rPr>
        <w:t>)</w:t>
      </w:r>
    </w:p>
    <w:p w:rsidR="006941E1" w:rsidRPr="009629F6" w:rsidRDefault="006941E1" w:rsidP="00C67B5D">
      <w:pPr>
        <w:spacing w:after="0" w:line="240" w:lineRule="auto"/>
        <w:rPr>
          <w:rFonts w:ascii="Times New Roman" w:hAnsi="Times New Roman" w:cs="Times New Roman"/>
        </w:rPr>
      </w:pPr>
      <w:r w:rsidRPr="009629F6">
        <w:rPr>
          <w:rFonts w:ascii="Times New Roman" w:hAnsi="Times New Roman" w:cs="Times New Roman"/>
          <w:vertAlign w:val="superscript"/>
        </w:rPr>
        <w:t>2</w:t>
      </w:r>
      <w:r w:rsidRPr="009629F6">
        <w:rPr>
          <w:rFonts w:ascii="Times New Roman" w:hAnsi="Times New Roman" w:cs="Times New Roman"/>
        </w:rPr>
        <w:t>This data will be collected prospectively in 1 year after the Course</w:t>
      </w:r>
    </w:p>
    <w:p w:rsidR="00CE54A9" w:rsidRDefault="00CE54A9" w:rsidP="00C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9F6" w:rsidRPr="009629F6" w:rsidRDefault="009629F6" w:rsidP="00C6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9F6">
        <w:rPr>
          <w:rFonts w:ascii="Times New Roman" w:hAnsi="Times New Roman" w:cs="Times New Roman"/>
          <w:b/>
          <w:sz w:val="24"/>
          <w:szCs w:val="24"/>
        </w:rPr>
        <w:t>*Attendee inclusion criterium:</w:t>
      </w:r>
    </w:p>
    <w:p w:rsidR="009629F6" w:rsidRPr="009629F6" w:rsidRDefault="009629F6" w:rsidP="00C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F6">
        <w:rPr>
          <w:rFonts w:ascii="Times New Roman" w:hAnsi="Times New Roman" w:cs="Times New Roman"/>
          <w:sz w:val="24"/>
          <w:szCs w:val="24"/>
        </w:rPr>
        <w:t>Completion of training in gynaecologic oncology or at least 5 years’ experience in gynaecologic oncology.</w:t>
      </w:r>
    </w:p>
    <w:p w:rsidR="009629F6" w:rsidRDefault="009629F6" w:rsidP="00C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9F6">
        <w:rPr>
          <w:rFonts w:ascii="Times New Roman" w:hAnsi="Times New Roman" w:cs="Times New Roman"/>
          <w:sz w:val="24"/>
          <w:szCs w:val="24"/>
        </w:rPr>
        <w:t>Assessment form during the application process, along with y</w:t>
      </w:r>
      <w:r w:rsidR="00CE54A9">
        <w:rPr>
          <w:rFonts w:ascii="Times New Roman" w:hAnsi="Times New Roman" w:cs="Times New Roman"/>
          <w:sz w:val="24"/>
          <w:szCs w:val="24"/>
        </w:rPr>
        <w:t>our CV and Motivation statement</w:t>
      </w:r>
      <w:r w:rsidRPr="009629F6">
        <w:rPr>
          <w:rFonts w:ascii="Times New Roman" w:hAnsi="Times New Roman" w:cs="Times New Roman"/>
          <w:sz w:val="24"/>
          <w:szCs w:val="24"/>
        </w:rPr>
        <w:t xml:space="preserve"> will serve for the scoring and selection of course participants. </w:t>
      </w:r>
    </w:p>
    <w:p w:rsidR="00672A60" w:rsidRDefault="00672A60" w:rsidP="00C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A60" w:rsidRPr="009629F6" w:rsidRDefault="00672A60" w:rsidP="00C67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A60">
        <w:rPr>
          <w:rFonts w:ascii="Times New Roman" w:hAnsi="Times New Roman" w:cs="Times New Roman"/>
          <w:sz w:val="24"/>
          <w:szCs w:val="24"/>
        </w:rPr>
        <w:t>This Application form properly filled in should be sent to: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672A60">
          <w:rPr>
            <w:rStyle w:val="Hypertextovodkaz"/>
            <w:rFonts w:ascii="Times New Roman" w:hAnsi="Times New Roman" w:cs="Times New Roman"/>
            <w:sz w:val="24"/>
            <w:szCs w:val="24"/>
          </w:rPr>
          <w:t>elenaulrikh@yandex.ru</w:t>
        </w:r>
      </w:hyperlink>
      <w:bookmarkStart w:id="0" w:name="_GoBack"/>
      <w:bookmarkEnd w:id="0"/>
    </w:p>
    <w:sectPr w:rsidR="00672A60" w:rsidRPr="009629F6" w:rsidSect="00C072D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00A"/>
    <w:multiLevelType w:val="multilevel"/>
    <w:tmpl w:val="64C8E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1" w15:restartNumberingAfterBreak="0">
    <w:nsid w:val="223878B5"/>
    <w:multiLevelType w:val="hybridMultilevel"/>
    <w:tmpl w:val="22C409B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4C25BD0"/>
    <w:multiLevelType w:val="multilevel"/>
    <w:tmpl w:val="012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3" w15:restartNumberingAfterBreak="0">
    <w:nsid w:val="24D237A6"/>
    <w:multiLevelType w:val="multilevel"/>
    <w:tmpl w:val="4FB8D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2F3BD1"/>
    <w:multiLevelType w:val="hybridMultilevel"/>
    <w:tmpl w:val="A1B67426"/>
    <w:lvl w:ilvl="0" w:tplc="F7460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86159"/>
    <w:multiLevelType w:val="hybridMultilevel"/>
    <w:tmpl w:val="9D368EB4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70A186A"/>
    <w:multiLevelType w:val="multilevel"/>
    <w:tmpl w:val="7026C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AE2970"/>
    <w:multiLevelType w:val="hybridMultilevel"/>
    <w:tmpl w:val="55620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4A17"/>
    <w:multiLevelType w:val="hybridMultilevel"/>
    <w:tmpl w:val="F940A8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82F81"/>
    <w:multiLevelType w:val="hybridMultilevel"/>
    <w:tmpl w:val="FCF63386"/>
    <w:lvl w:ilvl="0" w:tplc="00A4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1E740C"/>
    <w:multiLevelType w:val="multilevel"/>
    <w:tmpl w:val="6B04F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53"/>
    <w:rsid w:val="000D6F69"/>
    <w:rsid w:val="000E73D9"/>
    <w:rsid w:val="00120EC7"/>
    <w:rsid w:val="001277C1"/>
    <w:rsid w:val="00153F3F"/>
    <w:rsid w:val="001816ED"/>
    <w:rsid w:val="001D0BE9"/>
    <w:rsid w:val="002360C9"/>
    <w:rsid w:val="00245CCE"/>
    <w:rsid w:val="00246DAF"/>
    <w:rsid w:val="00252A4F"/>
    <w:rsid w:val="0025379C"/>
    <w:rsid w:val="00280DF6"/>
    <w:rsid w:val="002B552C"/>
    <w:rsid w:val="002D007B"/>
    <w:rsid w:val="003158A0"/>
    <w:rsid w:val="00324F68"/>
    <w:rsid w:val="003C4B51"/>
    <w:rsid w:val="003D42C2"/>
    <w:rsid w:val="00444F87"/>
    <w:rsid w:val="004A7308"/>
    <w:rsid w:val="004E4CA4"/>
    <w:rsid w:val="005A3CA2"/>
    <w:rsid w:val="00625C80"/>
    <w:rsid w:val="00640726"/>
    <w:rsid w:val="00672A60"/>
    <w:rsid w:val="006941E1"/>
    <w:rsid w:val="006C2287"/>
    <w:rsid w:val="00764095"/>
    <w:rsid w:val="00797AEC"/>
    <w:rsid w:val="007C2053"/>
    <w:rsid w:val="00805380"/>
    <w:rsid w:val="00806E46"/>
    <w:rsid w:val="008249F1"/>
    <w:rsid w:val="00835D18"/>
    <w:rsid w:val="00875CC2"/>
    <w:rsid w:val="00942578"/>
    <w:rsid w:val="009629F6"/>
    <w:rsid w:val="009B5C11"/>
    <w:rsid w:val="009C42C7"/>
    <w:rsid w:val="00A009E4"/>
    <w:rsid w:val="00A31F8B"/>
    <w:rsid w:val="00AA0D61"/>
    <w:rsid w:val="00AB40B0"/>
    <w:rsid w:val="00AE5540"/>
    <w:rsid w:val="00C072DA"/>
    <w:rsid w:val="00C35998"/>
    <w:rsid w:val="00C61192"/>
    <w:rsid w:val="00C67B5D"/>
    <w:rsid w:val="00CC20CD"/>
    <w:rsid w:val="00CE54A9"/>
    <w:rsid w:val="00CF2212"/>
    <w:rsid w:val="00D756DC"/>
    <w:rsid w:val="00DA4FEA"/>
    <w:rsid w:val="00DA7BCB"/>
    <w:rsid w:val="00DD4956"/>
    <w:rsid w:val="00ED0B57"/>
    <w:rsid w:val="00F31102"/>
    <w:rsid w:val="00F94AA5"/>
    <w:rsid w:val="00FB3939"/>
    <w:rsid w:val="00FB486F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5C85"/>
  <w15:docId w15:val="{1EFC49C1-6099-4DD8-9B3B-BCA601EB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053"/>
    <w:rPr>
      <w:lang w:val="tr-T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205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F8B"/>
    <w:rPr>
      <w:rFonts w:ascii="Segoe UI" w:hAnsi="Segoe UI" w:cs="Segoe UI"/>
      <w:sz w:val="18"/>
      <w:szCs w:val="18"/>
      <w:lang w:val="tr-TR"/>
    </w:rPr>
  </w:style>
  <w:style w:type="paragraph" w:styleId="Odstavecseseznamem">
    <w:name w:val="List Paragraph"/>
    <w:basedOn w:val="Normln"/>
    <w:uiPriority w:val="34"/>
    <w:qFormat/>
    <w:rsid w:val="002360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41E1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C072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72DA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Nevyeenzmnka">
    <w:name w:val="Unresolved Mention"/>
    <w:basedOn w:val="Standardnpsmoodstavce"/>
    <w:uiPriority w:val="99"/>
    <w:semiHidden/>
    <w:unhideWhenUsed/>
    <w:rsid w:val="0067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3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14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352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7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53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57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00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34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0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8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lenaulrik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idelines.esgo.org/ovarian-cancer/quality-indicators/indicato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Helena Opolecka</cp:lastModifiedBy>
  <cp:revision>7</cp:revision>
  <dcterms:created xsi:type="dcterms:W3CDTF">2019-01-30T12:22:00Z</dcterms:created>
  <dcterms:modified xsi:type="dcterms:W3CDTF">2019-01-30T14:47:00Z</dcterms:modified>
</cp:coreProperties>
</file>